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6"/>
          <w:szCs w:val="36"/>
        </w:rPr>
        <w:t>沪江学院20</w:t>
      </w:r>
      <w:r>
        <w:rPr>
          <w:rFonts w:hint="eastAsia" w:ascii="仿宋" w:hAnsi="仿宋" w:eastAsia="仿宋"/>
          <w:b/>
          <w:sz w:val="36"/>
          <w:szCs w:val="36"/>
          <w:lang w:val="en-US" w:eastAsia="zh-CN"/>
        </w:rPr>
        <w:t>21</w:t>
      </w:r>
      <w:r>
        <w:rPr>
          <w:rFonts w:hint="eastAsia" w:ascii="仿宋" w:hAnsi="仿宋" w:eastAsia="仿宋"/>
          <w:b/>
          <w:sz w:val="36"/>
          <w:szCs w:val="36"/>
        </w:rPr>
        <w:t>-202</w:t>
      </w:r>
      <w:r>
        <w:rPr>
          <w:rFonts w:hint="eastAsia" w:ascii="仿宋" w:hAnsi="仿宋" w:eastAsia="仿宋"/>
          <w:b/>
          <w:sz w:val="36"/>
          <w:szCs w:val="36"/>
          <w:lang w:val="en-US" w:eastAsia="zh-CN"/>
        </w:rPr>
        <w:t>2</w:t>
      </w:r>
      <w:r>
        <w:rPr>
          <w:rFonts w:hint="eastAsia" w:ascii="仿宋" w:hAnsi="仿宋" w:eastAsia="仿宋"/>
          <w:b/>
          <w:sz w:val="36"/>
          <w:szCs w:val="36"/>
        </w:rPr>
        <w:t>学年</w:t>
      </w:r>
      <w:r>
        <w:rPr>
          <w:rFonts w:ascii="仿宋" w:hAnsi="仿宋" w:eastAsia="仿宋"/>
          <w:b/>
          <w:sz w:val="36"/>
          <w:szCs w:val="36"/>
        </w:rPr>
        <w:t>课程</w:t>
      </w:r>
      <w:r>
        <w:rPr>
          <w:rFonts w:hint="eastAsia" w:ascii="仿宋" w:hAnsi="仿宋" w:eastAsia="仿宋"/>
          <w:b/>
          <w:sz w:val="36"/>
          <w:szCs w:val="36"/>
        </w:rPr>
        <w:t>教学</w:t>
      </w:r>
      <w:r>
        <w:rPr>
          <w:rFonts w:ascii="仿宋" w:hAnsi="仿宋" w:eastAsia="仿宋"/>
          <w:b/>
          <w:sz w:val="36"/>
          <w:szCs w:val="36"/>
        </w:rPr>
        <w:t>优秀奖</w:t>
      </w:r>
      <w:r>
        <w:rPr>
          <w:rFonts w:hint="eastAsia" w:ascii="仿宋" w:hAnsi="仿宋" w:eastAsia="仿宋"/>
          <w:b/>
          <w:sz w:val="36"/>
          <w:szCs w:val="36"/>
        </w:rPr>
        <w:t>评选办法</w:t>
      </w:r>
    </w:p>
    <w:p>
      <w:pPr>
        <w:jc w:val="center"/>
        <w:rPr>
          <w:b/>
          <w:sz w:val="32"/>
          <w:szCs w:val="32"/>
        </w:rPr>
      </w:pPr>
    </w:p>
    <w:p>
      <w:pPr>
        <w:jc w:val="center"/>
        <w:rPr>
          <w:b/>
          <w:sz w:val="32"/>
          <w:szCs w:val="32"/>
        </w:rPr>
      </w:pP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根据教务处《关于开展20</w:t>
      </w:r>
      <w:r>
        <w:rPr>
          <w:rFonts w:hint="eastAsia" w:asciiTheme="minorEastAsia" w:hAnsiTheme="minorEastAsia" w:eastAsiaTheme="minorEastAsia"/>
          <w:sz w:val="28"/>
          <w:szCs w:val="28"/>
          <w:lang w:val="en-US" w:eastAsia="zh-CN"/>
        </w:rPr>
        <w:t>21</w:t>
      </w:r>
      <w:r>
        <w:rPr>
          <w:rFonts w:hint="eastAsia"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学年课程教学优秀奖评选工作的通知》，为激发我院教师教育教学的主动性和积极性，提高我院</w:t>
      </w:r>
      <w:r>
        <w:rPr>
          <w:rFonts w:hint="eastAsia" w:asciiTheme="minorEastAsia" w:hAnsiTheme="minorEastAsia" w:eastAsiaTheme="minorEastAsia"/>
          <w:sz w:val="28"/>
          <w:szCs w:val="28"/>
          <w:lang w:val="en-US" w:eastAsia="zh-CN"/>
        </w:rPr>
        <w:t>人文素养通识课程体系</w:t>
      </w:r>
      <w:r>
        <w:rPr>
          <w:rFonts w:hint="eastAsia" w:asciiTheme="minorEastAsia" w:hAnsiTheme="minorEastAsia" w:eastAsiaTheme="minorEastAsia"/>
          <w:sz w:val="28"/>
          <w:szCs w:val="28"/>
        </w:rPr>
        <w:t>教学质量和水平，依据</w:t>
      </w:r>
      <w:r>
        <w:rPr>
          <w:rFonts w:asciiTheme="minorEastAsia" w:hAnsiTheme="minorEastAsia" w:eastAsiaTheme="minorEastAsia"/>
          <w:sz w:val="28"/>
          <w:szCs w:val="28"/>
        </w:rPr>
        <w:t>《上海理工大学课程</w:t>
      </w:r>
      <w:r>
        <w:rPr>
          <w:rFonts w:hint="eastAsia" w:asciiTheme="minorEastAsia" w:hAnsiTheme="minorEastAsia" w:eastAsiaTheme="minorEastAsia"/>
          <w:sz w:val="28"/>
          <w:szCs w:val="28"/>
        </w:rPr>
        <w:t>教学</w:t>
      </w:r>
      <w:r>
        <w:rPr>
          <w:rFonts w:asciiTheme="minorEastAsia" w:hAnsiTheme="minorEastAsia" w:eastAsiaTheme="minorEastAsia"/>
          <w:sz w:val="28"/>
          <w:szCs w:val="28"/>
        </w:rPr>
        <w:t>优秀奖</w:t>
      </w:r>
      <w:r>
        <w:rPr>
          <w:rFonts w:hint="eastAsia" w:asciiTheme="minorEastAsia" w:hAnsiTheme="minorEastAsia" w:eastAsiaTheme="minorEastAsia"/>
          <w:sz w:val="28"/>
          <w:szCs w:val="28"/>
        </w:rPr>
        <w:t>评选办法</w:t>
      </w:r>
      <w:bookmarkStart w:id="0" w:name="机关代字"/>
      <w:r>
        <w:rPr>
          <w:rFonts w:hint="eastAsia" w:asciiTheme="minorEastAsia" w:hAnsiTheme="minorEastAsia" w:eastAsiaTheme="minorEastAsia"/>
          <w:sz w:val="28"/>
          <w:szCs w:val="28"/>
        </w:rPr>
        <w:t>(</w:t>
      </w:r>
      <w:bookmarkEnd w:id="0"/>
      <w:r>
        <w:rPr>
          <w:rFonts w:hint="eastAsia" w:asciiTheme="minorEastAsia" w:hAnsiTheme="minorEastAsia" w:eastAsiaTheme="minorEastAsia"/>
          <w:sz w:val="28"/>
          <w:szCs w:val="28"/>
        </w:rPr>
        <w:t>试行)</w:t>
      </w:r>
      <w:r>
        <w:rPr>
          <w:rFonts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文件精神</w:t>
      </w:r>
      <w:r>
        <w:rPr>
          <w:rFonts w:hint="eastAsia" w:asciiTheme="minorEastAsia" w:hAnsiTheme="minorEastAsia" w:eastAsiaTheme="minorEastAsia"/>
          <w:sz w:val="28"/>
          <w:szCs w:val="28"/>
        </w:rPr>
        <w:t xml:space="preserve">，特制定本办法。 </w:t>
      </w:r>
    </w:p>
    <w:p>
      <w:pPr>
        <w:spacing w:line="560" w:lineRule="exact"/>
        <w:ind w:firstLine="562" w:firstLineChars="200"/>
        <w:rPr>
          <w:rFonts w:asciiTheme="minorEastAsia" w:hAnsiTheme="minorEastAsia" w:eastAsiaTheme="minorEastAsia"/>
          <w:sz w:val="28"/>
          <w:szCs w:val="28"/>
        </w:rPr>
      </w:pPr>
      <w:r>
        <w:rPr>
          <w:rFonts w:asciiTheme="minorEastAsia" w:hAnsiTheme="minorEastAsia" w:eastAsiaTheme="minorEastAsia"/>
          <w:b/>
          <w:sz w:val="28"/>
          <w:szCs w:val="28"/>
        </w:rPr>
        <w:t>第</w:t>
      </w:r>
      <w:r>
        <w:rPr>
          <w:rFonts w:hint="eastAsia" w:asciiTheme="minorEastAsia" w:hAnsiTheme="minorEastAsia" w:eastAsiaTheme="minorEastAsia"/>
          <w:b/>
          <w:sz w:val="28"/>
          <w:szCs w:val="28"/>
        </w:rPr>
        <w:t>一</w:t>
      </w:r>
      <w:r>
        <w:rPr>
          <w:rFonts w:asciiTheme="minorEastAsia" w:hAnsiTheme="minorEastAsia" w:eastAsiaTheme="minorEastAsia"/>
          <w:b/>
          <w:sz w:val="28"/>
          <w:szCs w:val="28"/>
        </w:rPr>
        <w:t>条</w:t>
      </w:r>
      <w:r>
        <w:rPr>
          <w:rFonts w:hint="eastAsia" w:cs="宋体" w:asciiTheme="minorEastAsia" w:hAnsiTheme="minorEastAsia" w:eastAsiaTheme="minorEastAsia"/>
          <w:sz w:val="28"/>
          <w:szCs w:val="28"/>
        </w:rPr>
        <w:t> </w:t>
      </w:r>
      <w:r>
        <w:rPr>
          <w:rFonts w:asciiTheme="minorEastAsia" w:hAnsiTheme="minorEastAsia" w:eastAsiaTheme="minorEastAsia"/>
          <w:b/>
          <w:sz w:val="28"/>
          <w:szCs w:val="28"/>
        </w:rPr>
        <w:t>课程</w:t>
      </w:r>
      <w:r>
        <w:rPr>
          <w:rFonts w:hint="eastAsia" w:asciiTheme="minorEastAsia" w:hAnsiTheme="minorEastAsia" w:eastAsiaTheme="minorEastAsia"/>
          <w:b/>
          <w:sz w:val="28"/>
          <w:szCs w:val="28"/>
        </w:rPr>
        <w:t>教学</w:t>
      </w:r>
      <w:r>
        <w:rPr>
          <w:rFonts w:asciiTheme="minorEastAsia" w:hAnsiTheme="minorEastAsia" w:eastAsiaTheme="minorEastAsia"/>
          <w:b/>
          <w:sz w:val="28"/>
          <w:szCs w:val="28"/>
        </w:rPr>
        <w:t>优秀奖</w:t>
      </w:r>
      <w:r>
        <w:rPr>
          <w:rFonts w:hint="eastAsia" w:asciiTheme="minorEastAsia" w:hAnsiTheme="minorEastAsia" w:eastAsiaTheme="minorEastAsia"/>
          <w:b/>
          <w:sz w:val="28"/>
          <w:szCs w:val="28"/>
        </w:rPr>
        <w:t>奖</w:t>
      </w:r>
      <w:r>
        <w:rPr>
          <w:rFonts w:asciiTheme="minorEastAsia" w:hAnsiTheme="minorEastAsia" w:eastAsiaTheme="minorEastAsia"/>
          <w:b/>
          <w:sz w:val="28"/>
          <w:szCs w:val="28"/>
        </w:rPr>
        <w:t>励原则：</w:t>
      </w:r>
      <w:r>
        <w:rPr>
          <w:rFonts w:hint="eastAsia" w:asciiTheme="minorEastAsia" w:hAnsiTheme="minorEastAsia" w:eastAsiaTheme="minorEastAsia"/>
          <w:sz w:val="28"/>
          <w:szCs w:val="28"/>
        </w:rPr>
        <w:t>奖励</w:t>
      </w:r>
      <w:r>
        <w:rPr>
          <w:rFonts w:asciiTheme="minorEastAsia" w:hAnsiTheme="minorEastAsia" w:eastAsiaTheme="minorEastAsia"/>
          <w:sz w:val="28"/>
          <w:szCs w:val="28"/>
        </w:rPr>
        <w:t>具有先进教育教学</w:t>
      </w:r>
      <w:r>
        <w:rPr>
          <w:rFonts w:hint="eastAsia" w:asciiTheme="minorEastAsia" w:hAnsiTheme="minorEastAsia" w:eastAsiaTheme="minorEastAsia"/>
          <w:sz w:val="28"/>
          <w:szCs w:val="28"/>
        </w:rPr>
        <w:t>理</w:t>
      </w:r>
      <w:r>
        <w:rPr>
          <w:rFonts w:asciiTheme="minorEastAsia" w:hAnsiTheme="minorEastAsia" w:eastAsiaTheme="minorEastAsia"/>
          <w:sz w:val="28"/>
          <w:szCs w:val="28"/>
        </w:rPr>
        <w:t>念，教学水平高，教学效果好</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积极</w:t>
      </w:r>
      <w:r>
        <w:rPr>
          <w:rFonts w:asciiTheme="minorEastAsia" w:hAnsiTheme="minorEastAsia" w:eastAsiaTheme="minorEastAsia"/>
          <w:sz w:val="28"/>
          <w:szCs w:val="28"/>
        </w:rPr>
        <w:t>参加课程建设或教学改革建设项目的</w:t>
      </w:r>
      <w:r>
        <w:rPr>
          <w:rFonts w:hint="eastAsia" w:asciiTheme="minorEastAsia" w:hAnsiTheme="minorEastAsia" w:eastAsiaTheme="minorEastAsia"/>
          <w:sz w:val="28"/>
          <w:szCs w:val="28"/>
          <w:lang w:val="en-US" w:eastAsia="zh-CN"/>
        </w:rPr>
        <w:t>一线</w:t>
      </w:r>
      <w:r>
        <w:rPr>
          <w:rFonts w:asciiTheme="minorEastAsia" w:hAnsiTheme="minorEastAsia" w:eastAsiaTheme="minorEastAsia"/>
          <w:sz w:val="28"/>
          <w:szCs w:val="28"/>
        </w:rPr>
        <w:t>教师</w:t>
      </w:r>
      <w:r>
        <w:rPr>
          <w:rFonts w:hint="eastAsia" w:asciiTheme="minorEastAsia" w:hAnsiTheme="minorEastAsia" w:eastAsiaTheme="minorEastAsia"/>
          <w:sz w:val="28"/>
          <w:szCs w:val="28"/>
        </w:rPr>
        <w:t xml:space="preserve">。 </w:t>
      </w:r>
    </w:p>
    <w:p>
      <w:pPr>
        <w:spacing w:line="560" w:lineRule="exact"/>
        <w:ind w:firstLine="562" w:firstLineChars="200"/>
        <w:rPr>
          <w:rFonts w:asciiTheme="minorEastAsia" w:hAnsiTheme="minorEastAsia" w:eastAsiaTheme="minorEastAsia"/>
          <w:sz w:val="28"/>
          <w:szCs w:val="28"/>
        </w:rPr>
      </w:pPr>
      <w:r>
        <w:rPr>
          <w:rFonts w:asciiTheme="minorEastAsia" w:hAnsiTheme="minorEastAsia" w:eastAsiaTheme="minorEastAsia"/>
          <w:b/>
          <w:sz w:val="28"/>
          <w:szCs w:val="28"/>
        </w:rPr>
        <w:t>第</w:t>
      </w:r>
      <w:r>
        <w:rPr>
          <w:rFonts w:hint="eastAsia" w:asciiTheme="minorEastAsia" w:hAnsiTheme="minorEastAsia" w:eastAsiaTheme="minorEastAsia"/>
          <w:b/>
          <w:sz w:val="28"/>
          <w:szCs w:val="28"/>
        </w:rPr>
        <w:t>二</w:t>
      </w:r>
      <w:r>
        <w:rPr>
          <w:rFonts w:asciiTheme="minorEastAsia" w:hAnsiTheme="minorEastAsia" w:eastAsiaTheme="minorEastAsia"/>
          <w:b/>
          <w:sz w:val="28"/>
          <w:szCs w:val="28"/>
        </w:rPr>
        <w:t>条</w:t>
      </w:r>
      <w:r>
        <w:rPr>
          <w:rFonts w:hint="eastAsia" w:cs="宋体" w:asciiTheme="minorEastAsia" w:hAnsiTheme="minorEastAsia" w:eastAsiaTheme="minorEastAsia"/>
          <w:sz w:val="28"/>
          <w:szCs w:val="28"/>
        </w:rPr>
        <w:t> </w:t>
      </w:r>
      <w:r>
        <w:rPr>
          <w:rFonts w:hint="eastAsia" w:asciiTheme="minorEastAsia" w:hAnsiTheme="minorEastAsia" w:eastAsiaTheme="minorEastAsia"/>
          <w:b/>
          <w:sz w:val="28"/>
          <w:szCs w:val="28"/>
        </w:rPr>
        <w:t>申报基本条件：</w:t>
      </w:r>
    </w:p>
    <w:p>
      <w:pPr>
        <w:pStyle w:val="9"/>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参评课程符合文件规定的评选基本条件，参评教师按要求参与坐班答疑和自习辅导工作</w:t>
      </w:r>
      <w:r>
        <w:rPr>
          <w:rFonts w:hint="eastAsia" w:asciiTheme="minorEastAsia" w:hAnsiTheme="minorEastAsia" w:eastAsiaTheme="minorEastAsia"/>
          <w:sz w:val="28"/>
          <w:szCs w:val="28"/>
          <w:lang w:val="en-US"/>
        </w:rPr>
        <w:t>,</w:t>
      </w:r>
      <w:r>
        <w:rPr>
          <w:rFonts w:hint="eastAsia" w:asciiTheme="minorEastAsia" w:hAnsiTheme="minorEastAsia" w:eastAsiaTheme="minorEastAsia"/>
          <w:sz w:val="28"/>
          <w:szCs w:val="28"/>
        </w:rPr>
        <w:t>并满足“本科教学教师激励计划”的相关要求。</w:t>
      </w:r>
    </w:p>
    <w:p>
      <w:pPr>
        <w:pStyle w:val="9"/>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参评教师具有良好的师德师风，师德考核不合格执行“一票否决”制；</w:t>
      </w:r>
    </w:p>
    <w:p>
      <w:pPr>
        <w:pStyle w:val="9"/>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560" w:firstLineChars="200"/>
        <w:textAlignment w:val="auto"/>
        <w:rPr>
          <w:rFonts w:asciiTheme="minorEastAsia" w:hAnsiTheme="minorEastAsia" w:eastAsiaTheme="minorEastAsia"/>
          <w:kern w:val="0"/>
          <w:sz w:val="28"/>
          <w:szCs w:val="28"/>
        </w:rPr>
      </w:pPr>
      <w:r>
        <w:rPr>
          <w:rFonts w:hint="eastAsia" w:asciiTheme="minorEastAsia" w:hAnsiTheme="minorEastAsia" w:eastAsiaTheme="minorEastAsia"/>
          <w:sz w:val="28"/>
          <w:szCs w:val="28"/>
        </w:rPr>
        <w:t xml:space="preserve">参评对象应满足以下两项要求： </w:t>
      </w:r>
    </w:p>
    <w:p>
      <w:pPr>
        <w:pStyle w:val="5"/>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Fonts w:asciiTheme="minorEastAsia" w:hAnsiTheme="minorEastAsia" w:eastAsiaTheme="minorEastAsia"/>
          <w:b/>
          <w:sz w:val="28"/>
          <w:szCs w:val="28"/>
        </w:rPr>
      </w:pPr>
      <w:r>
        <w:rPr>
          <w:rStyle w:val="8"/>
          <w:rFonts w:hint="eastAsia" w:asciiTheme="minorEastAsia" w:hAnsiTheme="minorEastAsia" w:eastAsiaTheme="minorEastAsia"/>
          <w:b w:val="0"/>
          <w:bCs w:val="0"/>
          <w:sz w:val="28"/>
          <w:szCs w:val="28"/>
        </w:rPr>
        <w:t>参评课程的学生评教成绩</w:t>
      </w:r>
      <w:r>
        <w:rPr>
          <w:rStyle w:val="8"/>
          <w:rFonts w:hint="eastAsia" w:asciiTheme="minorEastAsia" w:hAnsiTheme="minorEastAsia" w:eastAsiaTheme="minorEastAsia"/>
          <w:b w:val="0"/>
          <w:bCs w:val="0"/>
          <w:sz w:val="28"/>
          <w:szCs w:val="28"/>
          <w:lang w:val="en-US" w:eastAsia="zh-CN"/>
        </w:rPr>
        <w:t>原则上</w:t>
      </w:r>
      <w:r>
        <w:rPr>
          <w:rStyle w:val="8"/>
          <w:rFonts w:hint="eastAsia" w:asciiTheme="minorEastAsia" w:hAnsiTheme="minorEastAsia" w:eastAsiaTheme="minorEastAsia"/>
          <w:b w:val="0"/>
          <w:bCs w:val="0"/>
          <w:sz w:val="28"/>
          <w:szCs w:val="28"/>
        </w:rPr>
        <w:t>位列</w:t>
      </w:r>
      <w:r>
        <w:rPr>
          <w:rStyle w:val="8"/>
          <w:rFonts w:hint="eastAsia" w:asciiTheme="minorEastAsia" w:hAnsiTheme="minorEastAsia" w:eastAsiaTheme="minorEastAsia"/>
          <w:b w:val="0"/>
          <w:bCs w:val="0"/>
          <w:sz w:val="28"/>
          <w:szCs w:val="28"/>
          <w:lang w:val="en-US" w:eastAsia="zh-CN"/>
        </w:rPr>
        <w:t>我院</w:t>
      </w:r>
      <w:r>
        <w:rPr>
          <w:rStyle w:val="8"/>
          <w:rFonts w:hint="eastAsia" w:asciiTheme="minorEastAsia" w:hAnsiTheme="minorEastAsia" w:eastAsiaTheme="minorEastAsia"/>
          <w:b w:val="0"/>
          <w:bCs w:val="0"/>
          <w:sz w:val="28"/>
          <w:szCs w:val="28"/>
        </w:rPr>
        <w:t>参评课程范围内的前40%;</w:t>
      </w:r>
    </w:p>
    <w:p>
      <w:pPr>
        <w:pStyle w:val="5"/>
        <w:keepNext w:val="0"/>
        <w:keepLines w:val="0"/>
        <w:pageBreakBefore w:val="0"/>
        <w:widowControl/>
        <w:numPr>
          <w:ilvl w:val="0"/>
          <w:numId w:val="2"/>
        </w:numPr>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textAlignment w:val="auto"/>
        <w:rPr>
          <w:rStyle w:val="8"/>
          <w:rFonts w:asciiTheme="minorEastAsia" w:hAnsiTheme="minorEastAsia" w:eastAsiaTheme="minorEastAsia"/>
          <w:b w:val="0"/>
          <w:bCs w:val="0"/>
          <w:sz w:val="28"/>
          <w:szCs w:val="28"/>
        </w:rPr>
      </w:pPr>
      <w:r>
        <w:rPr>
          <w:rStyle w:val="8"/>
          <w:rFonts w:hint="eastAsia" w:asciiTheme="minorEastAsia" w:hAnsiTheme="minorEastAsia" w:eastAsiaTheme="minorEastAsia"/>
          <w:b w:val="0"/>
          <w:bCs w:val="0"/>
          <w:sz w:val="28"/>
          <w:szCs w:val="28"/>
        </w:rPr>
        <w:t>参评教师20</w:t>
      </w:r>
      <w:r>
        <w:rPr>
          <w:rStyle w:val="8"/>
          <w:rFonts w:hint="eastAsia" w:asciiTheme="minorEastAsia" w:hAnsiTheme="minorEastAsia" w:eastAsiaTheme="minorEastAsia"/>
          <w:b w:val="0"/>
          <w:bCs w:val="0"/>
          <w:sz w:val="28"/>
          <w:szCs w:val="28"/>
          <w:lang w:val="en-US" w:eastAsia="zh-CN"/>
        </w:rPr>
        <w:t>21</w:t>
      </w:r>
      <w:r>
        <w:rPr>
          <w:rStyle w:val="8"/>
          <w:rFonts w:hint="eastAsia" w:asciiTheme="minorEastAsia" w:hAnsiTheme="minorEastAsia" w:eastAsiaTheme="minorEastAsia"/>
          <w:b w:val="0"/>
          <w:bCs w:val="0"/>
          <w:sz w:val="28"/>
          <w:szCs w:val="28"/>
        </w:rPr>
        <w:t>-202</w:t>
      </w:r>
      <w:r>
        <w:rPr>
          <w:rStyle w:val="8"/>
          <w:rFonts w:hint="eastAsia" w:asciiTheme="minorEastAsia" w:hAnsiTheme="minorEastAsia" w:eastAsiaTheme="minorEastAsia"/>
          <w:b w:val="0"/>
          <w:bCs w:val="0"/>
          <w:sz w:val="28"/>
          <w:szCs w:val="28"/>
          <w:lang w:val="en-US" w:eastAsia="zh-CN"/>
        </w:rPr>
        <w:t>2</w:t>
      </w:r>
      <w:r>
        <w:rPr>
          <w:rStyle w:val="8"/>
          <w:rFonts w:hint="eastAsia" w:asciiTheme="minorEastAsia" w:hAnsiTheme="minorEastAsia" w:eastAsiaTheme="minorEastAsia"/>
          <w:b w:val="0"/>
          <w:bCs w:val="0"/>
          <w:sz w:val="28"/>
          <w:szCs w:val="28"/>
        </w:rPr>
        <w:t>学年两学期的总体评教成绩</w:t>
      </w:r>
      <w:r>
        <w:rPr>
          <w:rStyle w:val="8"/>
          <w:rFonts w:hint="eastAsia" w:asciiTheme="minorEastAsia" w:hAnsiTheme="minorEastAsia" w:eastAsiaTheme="minorEastAsia"/>
          <w:b w:val="0"/>
          <w:bCs w:val="0"/>
          <w:sz w:val="28"/>
          <w:szCs w:val="28"/>
          <w:lang w:val="en-US" w:eastAsia="zh-CN"/>
        </w:rPr>
        <w:t>原则上均</w:t>
      </w:r>
      <w:r>
        <w:rPr>
          <w:rStyle w:val="8"/>
          <w:rFonts w:hint="eastAsia" w:asciiTheme="minorEastAsia" w:hAnsiTheme="minorEastAsia" w:eastAsiaTheme="minorEastAsia"/>
          <w:b w:val="0"/>
          <w:bCs w:val="0"/>
          <w:sz w:val="28"/>
          <w:szCs w:val="28"/>
        </w:rPr>
        <w:t>列</w:t>
      </w:r>
      <w:r>
        <w:rPr>
          <w:rStyle w:val="8"/>
          <w:rFonts w:hint="eastAsia" w:asciiTheme="minorEastAsia" w:hAnsiTheme="minorEastAsia" w:eastAsiaTheme="minorEastAsia"/>
          <w:b w:val="0"/>
          <w:bCs w:val="0"/>
          <w:sz w:val="28"/>
          <w:szCs w:val="28"/>
          <w:lang w:val="en-US" w:eastAsia="zh-CN"/>
        </w:rPr>
        <w:t>我院</w:t>
      </w:r>
      <w:r>
        <w:rPr>
          <w:rStyle w:val="8"/>
          <w:rFonts w:hint="eastAsia" w:asciiTheme="minorEastAsia" w:hAnsiTheme="minorEastAsia" w:eastAsiaTheme="minorEastAsia"/>
          <w:b w:val="0"/>
          <w:bCs w:val="0"/>
          <w:sz w:val="28"/>
          <w:szCs w:val="28"/>
        </w:rPr>
        <w:t>授课教师的前40%;</w:t>
      </w:r>
    </w:p>
    <w:p>
      <w:pPr>
        <w:pStyle w:val="9"/>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560" w:firstLineChars="200"/>
        <w:textAlignment w:val="auto"/>
        <w:rPr>
          <w:rFonts w:asciiTheme="minorEastAsia" w:hAnsiTheme="minorEastAsia" w:eastAsiaTheme="minorEastAsia"/>
          <w:b/>
          <w:sz w:val="28"/>
          <w:szCs w:val="28"/>
        </w:rPr>
      </w:pPr>
      <w:r>
        <w:rPr>
          <w:rStyle w:val="8"/>
          <w:rFonts w:hint="eastAsia" w:asciiTheme="minorEastAsia" w:hAnsiTheme="minorEastAsia" w:eastAsiaTheme="minorEastAsia"/>
          <w:b w:val="0"/>
          <w:bCs w:val="0"/>
          <w:sz w:val="28"/>
          <w:szCs w:val="28"/>
          <w:lang w:val="en-US" w:eastAsia="zh-CN"/>
        </w:rPr>
        <w:t>课程的任课教师信息以2021-2022学年度课表为准，存在下列情况的课程不参评：</w:t>
      </w:r>
    </w:p>
    <w:p>
      <w:pPr>
        <w:pStyle w:val="9"/>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560" w:firstLineChars="200"/>
        <w:textAlignment w:val="auto"/>
        <w:rPr>
          <w:rFonts w:asciiTheme="minorEastAsia" w:hAnsiTheme="minorEastAsia" w:eastAsiaTheme="minorEastAsia"/>
          <w:b/>
          <w:sz w:val="28"/>
          <w:szCs w:val="28"/>
        </w:rPr>
      </w:pPr>
      <w:r>
        <w:rPr>
          <w:rStyle w:val="8"/>
          <w:rFonts w:hint="eastAsia" w:asciiTheme="minorEastAsia" w:hAnsiTheme="minorEastAsia" w:eastAsiaTheme="minorEastAsia"/>
          <w:b w:val="0"/>
          <w:bCs w:val="0"/>
          <w:sz w:val="28"/>
          <w:szCs w:val="28"/>
        </w:rPr>
        <w:t>多位教师联合授课（含2人及以上）的课程；</w:t>
      </w:r>
    </w:p>
    <w:p>
      <w:pPr>
        <w:pStyle w:val="9"/>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560" w:firstLineChars="200"/>
        <w:textAlignment w:val="auto"/>
        <w:rPr>
          <w:rFonts w:asciiTheme="minorEastAsia" w:hAnsiTheme="minorEastAsia" w:eastAsiaTheme="minorEastAsia"/>
          <w:b/>
          <w:sz w:val="28"/>
          <w:szCs w:val="28"/>
        </w:rPr>
      </w:pPr>
      <w:r>
        <w:rPr>
          <w:rStyle w:val="8"/>
          <w:rFonts w:hint="eastAsia" w:asciiTheme="minorEastAsia" w:hAnsiTheme="minorEastAsia" w:eastAsiaTheme="minorEastAsia"/>
          <w:b w:val="0"/>
          <w:bCs w:val="0"/>
          <w:sz w:val="28"/>
          <w:szCs w:val="28"/>
        </w:rPr>
        <w:t>学生评教的参评人数少于10人的课程</w:t>
      </w:r>
      <w:r>
        <w:rPr>
          <w:rStyle w:val="8"/>
          <w:rFonts w:hint="eastAsia" w:asciiTheme="minorEastAsia" w:hAnsiTheme="minorEastAsia" w:eastAsiaTheme="minorEastAsia"/>
          <w:b w:val="0"/>
          <w:bCs w:val="0"/>
          <w:sz w:val="28"/>
          <w:szCs w:val="28"/>
          <w:lang w:eastAsia="zh-CN"/>
        </w:rPr>
        <w:t>；</w:t>
      </w:r>
    </w:p>
    <w:p>
      <w:pPr>
        <w:pStyle w:val="9"/>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560"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sz w:val="28"/>
          <w:szCs w:val="28"/>
        </w:rPr>
        <w:t>连续两年以同一门课程申报并获得课程教学优秀奖的教师不建议继续以该课程参评</w:t>
      </w:r>
      <w:r>
        <w:rPr>
          <w:rFonts w:hint="eastAsia" w:asciiTheme="minorEastAsia" w:hAnsiTheme="minorEastAsia" w:eastAsiaTheme="minorEastAsia"/>
          <w:sz w:val="28"/>
          <w:szCs w:val="28"/>
          <w:lang w:eastAsia="zh-CN"/>
        </w:rPr>
        <w:t>。</w:t>
      </w:r>
    </w:p>
    <w:p>
      <w:pPr>
        <w:pStyle w:val="9"/>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560"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sz w:val="28"/>
          <w:szCs w:val="28"/>
        </w:rPr>
        <w:t>课表中无教师本人信息，其实际承担的该课程</w:t>
      </w:r>
      <w:r>
        <w:rPr>
          <w:rFonts w:hint="eastAsia" w:asciiTheme="minorEastAsia" w:hAnsiTheme="minorEastAsia" w:eastAsiaTheme="minorEastAsia"/>
          <w:b/>
          <w:sz w:val="28"/>
          <w:szCs w:val="28"/>
        </w:rPr>
        <w:t>；</w:t>
      </w:r>
    </w:p>
    <w:p>
      <w:pPr>
        <w:pStyle w:val="9"/>
        <w:keepNext w:val="0"/>
        <w:keepLines w:val="0"/>
        <w:pageBreakBefore w:val="0"/>
        <w:widowControl w:val="0"/>
        <w:numPr>
          <w:ilvl w:val="0"/>
          <w:numId w:val="3"/>
        </w:numPr>
        <w:kinsoku/>
        <w:wordWrap/>
        <w:overflowPunct/>
        <w:topLinePunct w:val="0"/>
        <w:autoSpaceDE/>
        <w:autoSpaceDN/>
        <w:bidi w:val="0"/>
        <w:adjustRightInd w:val="0"/>
        <w:snapToGrid/>
        <w:spacing w:line="560" w:lineRule="exact"/>
        <w:ind w:left="0" w:leftChars="0"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课表中有教师信息，</w:t>
      </w:r>
      <w:r>
        <w:rPr>
          <w:rFonts w:hint="eastAsia" w:asciiTheme="minorEastAsia" w:hAnsiTheme="minorEastAsia" w:eastAsiaTheme="minorEastAsia"/>
          <w:sz w:val="28"/>
          <w:szCs w:val="28"/>
          <w:lang w:val="en-US" w:eastAsia="zh-CN"/>
        </w:rPr>
        <w:t>该</w:t>
      </w:r>
      <w:r>
        <w:rPr>
          <w:rFonts w:hint="eastAsia" w:asciiTheme="minorEastAsia" w:hAnsiTheme="minorEastAsia" w:eastAsiaTheme="minorEastAsia"/>
          <w:sz w:val="28"/>
          <w:szCs w:val="28"/>
        </w:rPr>
        <w:t>教师实际未承担课程的授课任务；</w:t>
      </w:r>
    </w:p>
    <w:p>
      <w:pPr>
        <w:widowControl/>
        <w:spacing w:line="560" w:lineRule="exact"/>
        <w:ind w:firstLine="562" w:firstLineChars="20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第三条 推荐课程评选原则：</w:t>
      </w:r>
    </w:p>
    <w:p>
      <w:pPr>
        <w:pStyle w:val="9"/>
        <w:keepNext w:val="0"/>
        <w:keepLines w:val="0"/>
        <w:pageBreakBefore w:val="0"/>
        <w:widowControl w:val="0"/>
        <w:numPr>
          <w:ilvl w:val="0"/>
          <w:numId w:val="4"/>
        </w:numPr>
        <w:kinsoku/>
        <w:wordWrap/>
        <w:overflowPunct/>
        <w:topLinePunct w:val="0"/>
        <w:autoSpaceDE/>
        <w:autoSpaceDN/>
        <w:bidi w:val="0"/>
        <w:adjustRightInd w:val="0"/>
        <w:snapToGrid/>
        <w:spacing w:line="560" w:lineRule="exact"/>
        <w:ind w:left="0" w:leftChars="0" w:firstLine="560" w:firstLineChars="200"/>
        <w:textAlignment w:val="auto"/>
        <w:rPr>
          <w:rStyle w:val="8"/>
          <w:rFonts w:hint="eastAsia" w:asciiTheme="minorEastAsia" w:hAnsiTheme="minorEastAsia" w:eastAsiaTheme="minorEastAsia"/>
          <w:b w:val="0"/>
          <w:bCs w:val="0"/>
          <w:sz w:val="28"/>
          <w:szCs w:val="28"/>
        </w:rPr>
      </w:pPr>
      <w:r>
        <w:rPr>
          <w:rFonts w:hint="eastAsia" w:asciiTheme="minorEastAsia" w:hAnsiTheme="minorEastAsia" w:eastAsiaTheme="minorEastAsia"/>
          <w:sz w:val="28"/>
          <w:szCs w:val="28"/>
        </w:rPr>
        <w:t>避免单纯以“上课学分”和“评教排序”作为唯一评选依据</w:t>
      </w:r>
      <w:r>
        <w:rPr>
          <w:rFonts w:hint="eastAsia" w:asciiTheme="minorEastAsia" w:hAnsiTheme="minorEastAsia" w:eastAsiaTheme="minorEastAsia"/>
          <w:b/>
          <w:sz w:val="28"/>
          <w:szCs w:val="28"/>
        </w:rPr>
        <w:t>，</w:t>
      </w:r>
      <w:r>
        <w:rPr>
          <w:rStyle w:val="8"/>
          <w:rFonts w:hint="eastAsia" w:asciiTheme="minorEastAsia" w:hAnsiTheme="minorEastAsia" w:eastAsiaTheme="minorEastAsia"/>
          <w:b w:val="0"/>
          <w:bCs w:val="0"/>
          <w:sz w:val="28"/>
          <w:szCs w:val="28"/>
        </w:rPr>
        <w:t>综合考虑教师的教学态度、课程选修学生人数、评教参评人数、督导和同行专家评教相结合、所授课程的课程类型、线上线下混合式教学成效、课程思政元素的融入等</w:t>
      </w:r>
      <w:r>
        <w:rPr>
          <w:rStyle w:val="8"/>
          <w:rFonts w:hint="eastAsia" w:asciiTheme="minorEastAsia" w:hAnsiTheme="minorEastAsia" w:eastAsiaTheme="minorEastAsia"/>
          <w:b w:val="0"/>
          <w:bCs w:val="0"/>
          <w:sz w:val="28"/>
          <w:szCs w:val="28"/>
          <w:lang w:eastAsia="zh-CN"/>
        </w:rPr>
        <w:t>；</w:t>
      </w:r>
      <w:r>
        <w:rPr>
          <w:rStyle w:val="8"/>
          <w:rFonts w:hint="eastAsia" w:asciiTheme="minorEastAsia" w:hAnsiTheme="minorEastAsia" w:eastAsiaTheme="minorEastAsia"/>
          <w:b w:val="0"/>
          <w:bCs w:val="0"/>
          <w:sz w:val="28"/>
          <w:szCs w:val="28"/>
        </w:rPr>
        <w:t>；</w:t>
      </w:r>
    </w:p>
    <w:p>
      <w:pPr>
        <w:pStyle w:val="9"/>
        <w:keepNext w:val="0"/>
        <w:keepLines w:val="0"/>
        <w:pageBreakBefore w:val="0"/>
        <w:widowControl w:val="0"/>
        <w:numPr>
          <w:ilvl w:val="0"/>
          <w:numId w:val="4"/>
        </w:numPr>
        <w:kinsoku/>
        <w:wordWrap/>
        <w:overflowPunct/>
        <w:topLinePunct w:val="0"/>
        <w:autoSpaceDE/>
        <w:autoSpaceDN/>
        <w:bidi w:val="0"/>
        <w:adjustRightInd w:val="0"/>
        <w:snapToGrid/>
        <w:spacing w:line="560" w:lineRule="exact"/>
        <w:ind w:left="0" w:leftChars="0" w:firstLine="560" w:firstLineChars="200"/>
        <w:textAlignment w:val="auto"/>
        <w:rPr>
          <w:rStyle w:val="8"/>
          <w:rFonts w:hint="eastAsia" w:asciiTheme="minorEastAsia" w:hAnsiTheme="minorEastAsia" w:eastAsiaTheme="minorEastAsia"/>
          <w:b w:val="0"/>
          <w:bCs w:val="0"/>
          <w:sz w:val="28"/>
          <w:szCs w:val="28"/>
        </w:rPr>
      </w:pPr>
      <w:r>
        <w:rPr>
          <w:rStyle w:val="8"/>
          <w:rFonts w:hint="eastAsia" w:asciiTheme="minorEastAsia" w:hAnsiTheme="minorEastAsia" w:eastAsiaTheme="minorEastAsia"/>
          <w:b w:val="0"/>
          <w:bCs w:val="0"/>
          <w:sz w:val="28"/>
          <w:szCs w:val="28"/>
        </w:rPr>
        <w:t>综合考虑教师进行教育教学研究与改革的情况及成效</w:t>
      </w:r>
      <w:r>
        <w:rPr>
          <w:rStyle w:val="8"/>
          <w:rFonts w:hint="eastAsia" w:asciiTheme="minorEastAsia" w:hAnsiTheme="minorEastAsia" w:eastAsiaTheme="minorEastAsia"/>
          <w:b w:val="0"/>
          <w:bCs w:val="0"/>
          <w:sz w:val="28"/>
          <w:szCs w:val="28"/>
          <w:lang w:eastAsia="zh-CN"/>
        </w:rPr>
        <w:t>，</w:t>
      </w:r>
      <w:r>
        <w:rPr>
          <w:rStyle w:val="8"/>
          <w:rFonts w:hint="eastAsia" w:asciiTheme="minorEastAsia" w:hAnsiTheme="minorEastAsia" w:eastAsiaTheme="minorEastAsia"/>
          <w:b w:val="0"/>
          <w:bCs w:val="0"/>
          <w:sz w:val="28"/>
          <w:szCs w:val="28"/>
        </w:rPr>
        <w:t>优先考虑取得下列突出成绩者：</w:t>
      </w:r>
    </w:p>
    <w:p>
      <w:pPr>
        <w:pStyle w:val="9"/>
        <w:keepNext w:val="0"/>
        <w:keepLines w:val="0"/>
        <w:pageBreakBefore w:val="0"/>
        <w:widowControl w:val="0"/>
        <w:numPr>
          <w:ilvl w:val="1"/>
          <w:numId w:val="4"/>
        </w:numPr>
        <w:kinsoku/>
        <w:wordWrap/>
        <w:overflowPunct/>
        <w:topLinePunct w:val="0"/>
        <w:autoSpaceDE/>
        <w:autoSpaceDN/>
        <w:bidi w:val="0"/>
        <w:adjustRightInd w:val="0"/>
        <w:snapToGrid/>
        <w:spacing w:line="560" w:lineRule="exact"/>
        <w:ind w:left="840" w:leftChars="0" w:hanging="420" w:firstLineChars="0"/>
        <w:textAlignment w:val="auto"/>
        <w:rPr>
          <w:rStyle w:val="8"/>
          <w:rFonts w:hint="eastAsia" w:asciiTheme="minorEastAsia" w:hAnsiTheme="minorEastAsia" w:eastAsiaTheme="minorEastAsia"/>
          <w:b w:val="0"/>
          <w:bCs w:val="0"/>
          <w:sz w:val="28"/>
          <w:szCs w:val="28"/>
        </w:rPr>
      </w:pPr>
      <w:r>
        <w:rPr>
          <w:rStyle w:val="8"/>
          <w:rFonts w:hint="eastAsia" w:asciiTheme="minorEastAsia" w:hAnsiTheme="minorEastAsia" w:eastAsiaTheme="minorEastAsia"/>
          <w:b w:val="0"/>
          <w:bCs w:val="0"/>
          <w:sz w:val="28"/>
          <w:szCs w:val="28"/>
        </w:rPr>
        <w:t>近三年参加校级及以上课程建设或校级及以上教学改革建设项目</w:t>
      </w:r>
      <w:r>
        <w:rPr>
          <w:rStyle w:val="8"/>
          <w:rFonts w:hint="eastAsia" w:asciiTheme="minorEastAsia" w:hAnsiTheme="minorEastAsia" w:eastAsiaTheme="minorEastAsia"/>
          <w:b w:val="0"/>
          <w:bCs w:val="0"/>
          <w:sz w:val="28"/>
          <w:szCs w:val="28"/>
          <w:lang w:eastAsia="zh-CN"/>
        </w:rPr>
        <w:t>；</w:t>
      </w:r>
    </w:p>
    <w:p>
      <w:pPr>
        <w:pStyle w:val="9"/>
        <w:keepNext w:val="0"/>
        <w:keepLines w:val="0"/>
        <w:pageBreakBefore w:val="0"/>
        <w:widowControl w:val="0"/>
        <w:numPr>
          <w:ilvl w:val="1"/>
          <w:numId w:val="4"/>
        </w:numPr>
        <w:kinsoku/>
        <w:wordWrap/>
        <w:overflowPunct/>
        <w:topLinePunct w:val="0"/>
        <w:autoSpaceDE/>
        <w:autoSpaceDN/>
        <w:bidi w:val="0"/>
        <w:adjustRightInd w:val="0"/>
        <w:snapToGrid/>
        <w:spacing w:line="560" w:lineRule="exact"/>
        <w:ind w:left="840" w:leftChars="0" w:hanging="420" w:firstLineChars="0"/>
        <w:textAlignment w:val="auto"/>
        <w:rPr>
          <w:rStyle w:val="8"/>
          <w:rFonts w:hint="eastAsia" w:asciiTheme="minorEastAsia" w:hAnsiTheme="minorEastAsia" w:eastAsiaTheme="minorEastAsia"/>
          <w:b w:val="0"/>
          <w:bCs w:val="0"/>
          <w:sz w:val="28"/>
          <w:szCs w:val="28"/>
        </w:rPr>
      </w:pPr>
      <w:r>
        <w:rPr>
          <w:rStyle w:val="8"/>
          <w:rFonts w:hint="eastAsia" w:asciiTheme="minorEastAsia" w:hAnsiTheme="minorEastAsia" w:eastAsiaTheme="minorEastAsia"/>
          <w:b w:val="0"/>
          <w:bCs w:val="0"/>
          <w:sz w:val="28"/>
          <w:szCs w:val="28"/>
        </w:rPr>
        <w:t>获得</w:t>
      </w:r>
      <w:r>
        <w:rPr>
          <w:rStyle w:val="8"/>
          <w:rFonts w:hint="eastAsia" w:asciiTheme="minorEastAsia" w:hAnsiTheme="minorEastAsia" w:eastAsiaTheme="minorEastAsia"/>
          <w:b w:val="0"/>
          <w:bCs w:val="0"/>
          <w:sz w:val="28"/>
          <w:szCs w:val="28"/>
          <w:lang w:val="en-US" w:eastAsia="zh-CN"/>
        </w:rPr>
        <w:t>校级以上</w:t>
      </w:r>
      <w:r>
        <w:rPr>
          <w:rStyle w:val="8"/>
          <w:rFonts w:hint="eastAsia" w:asciiTheme="minorEastAsia" w:hAnsiTheme="minorEastAsia" w:eastAsiaTheme="minorEastAsia"/>
          <w:b w:val="0"/>
          <w:bCs w:val="0"/>
          <w:sz w:val="28"/>
          <w:szCs w:val="28"/>
        </w:rPr>
        <w:t>教师教学技能类竞赛奖；被评为“学生心目中的好老师”；</w:t>
      </w:r>
    </w:p>
    <w:p>
      <w:pPr>
        <w:pStyle w:val="9"/>
        <w:keepNext w:val="0"/>
        <w:keepLines w:val="0"/>
        <w:pageBreakBefore w:val="0"/>
        <w:widowControl w:val="0"/>
        <w:numPr>
          <w:ilvl w:val="1"/>
          <w:numId w:val="4"/>
        </w:numPr>
        <w:kinsoku/>
        <w:wordWrap/>
        <w:overflowPunct/>
        <w:topLinePunct w:val="0"/>
        <w:autoSpaceDE/>
        <w:autoSpaceDN/>
        <w:bidi w:val="0"/>
        <w:adjustRightInd w:val="0"/>
        <w:snapToGrid/>
        <w:spacing w:line="560" w:lineRule="exact"/>
        <w:ind w:left="840" w:leftChars="0" w:hanging="420" w:firstLineChars="0"/>
        <w:textAlignment w:val="auto"/>
        <w:rPr>
          <w:rStyle w:val="8"/>
          <w:rFonts w:hint="eastAsia" w:asciiTheme="minorEastAsia" w:hAnsiTheme="minorEastAsia" w:eastAsiaTheme="minorEastAsia"/>
          <w:b w:val="0"/>
          <w:bCs w:val="0"/>
          <w:sz w:val="28"/>
          <w:szCs w:val="28"/>
        </w:rPr>
      </w:pPr>
      <w:r>
        <w:rPr>
          <w:rStyle w:val="8"/>
          <w:rFonts w:hint="eastAsia" w:asciiTheme="minorEastAsia" w:hAnsiTheme="minorEastAsia" w:eastAsiaTheme="minorEastAsia"/>
          <w:b w:val="0"/>
          <w:bCs w:val="0"/>
          <w:sz w:val="28"/>
          <w:szCs w:val="28"/>
        </w:rPr>
        <w:t>在教学研究工作中做出突出成绩：发表高质量的教研论文、获得学校教研类项目；</w:t>
      </w:r>
    </w:p>
    <w:p>
      <w:pPr>
        <w:widowControl/>
        <w:spacing w:line="560" w:lineRule="exact"/>
        <w:ind w:firstLine="562" w:firstLineChars="200"/>
        <w:jc w:val="left"/>
        <w:rPr>
          <w:rFonts w:asciiTheme="minorEastAsia" w:hAnsiTheme="minorEastAsia" w:eastAsiaTheme="minorEastAsia"/>
          <w:sz w:val="28"/>
          <w:szCs w:val="28"/>
        </w:rPr>
      </w:pPr>
      <w:r>
        <w:rPr>
          <w:rFonts w:asciiTheme="minorEastAsia" w:hAnsiTheme="minorEastAsia" w:eastAsiaTheme="minorEastAsia"/>
          <w:b/>
          <w:sz w:val="28"/>
          <w:szCs w:val="28"/>
        </w:rPr>
        <w:t>第四条</w:t>
      </w: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评选程序：</w:t>
      </w:r>
    </w:p>
    <w:p>
      <w:pPr>
        <w:pStyle w:val="9"/>
        <w:keepNext w:val="0"/>
        <w:keepLines w:val="0"/>
        <w:pageBreakBefore w:val="0"/>
        <w:widowControl/>
        <w:numPr>
          <w:ilvl w:val="0"/>
          <w:numId w:val="5"/>
        </w:numPr>
        <w:kinsoku/>
        <w:wordWrap/>
        <w:overflowPunct/>
        <w:topLinePunct w:val="0"/>
        <w:autoSpaceDE/>
        <w:autoSpaceDN/>
        <w:bidi w:val="0"/>
        <w:adjustRightInd w:val="0"/>
        <w:snapToGrid/>
        <w:spacing w:line="560" w:lineRule="exact"/>
        <w:ind w:left="0" w:leftChars="0" w:firstLine="560" w:firstLineChars="200"/>
        <w:jc w:val="left"/>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教师个人</w:t>
      </w:r>
      <w:r>
        <w:rPr>
          <w:rFonts w:hint="eastAsia" w:asciiTheme="minorEastAsia" w:hAnsiTheme="minorEastAsia" w:eastAsiaTheme="minorEastAsia"/>
          <w:sz w:val="28"/>
          <w:szCs w:val="28"/>
        </w:rPr>
        <w:t>申报</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填写《上海理工大学课程教学优秀奖申报表》交至学院，每位教师限报一门课程</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申请截止时间为2022年11月17日</w:t>
      </w:r>
      <w:r>
        <w:rPr>
          <w:rFonts w:hint="eastAsia" w:asciiTheme="minorEastAsia" w:hAnsiTheme="minorEastAsia" w:eastAsiaTheme="minorEastAsia"/>
          <w:sz w:val="28"/>
          <w:szCs w:val="28"/>
          <w:lang w:val="en-US" w:eastAsia="zh-CN"/>
        </w:rPr>
        <w:t>17点</w:t>
      </w:r>
      <w:r>
        <w:rPr>
          <w:rFonts w:hint="eastAsia" w:asciiTheme="minorEastAsia" w:hAnsiTheme="minorEastAsia" w:eastAsiaTheme="minorEastAsia"/>
          <w:sz w:val="28"/>
          <w:szCs w:val="28"/>
        </w:rPr>
        <w:t>。</w:t>
      </w:r>
    </w:p>
    <w:p>
      <w:pPr>
        <w:pStyle w:val="9"/>
        <w:widowControl/>
        <w:numPr>
          <w:ilvl w:val="0"/>
          <w:numId w:val="5"/>
        </w:numPr>
        <w:spacing w:line="560" w:lineRule="exact"/>
        <w:ind w:left="0" w:leftChars="0"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2022年11月1</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日学院教学能力</w:t>
      </w:r>
      <w:r>
        <w:rPr>
          <w:rFonts w:hint="eastAsia" w:asciiTheme="minorEastAsia" w:hAnsiTheme="minorEastAsia" w:eastAsiaTheme="minorEastAsia"/>
          <w:sz w:val="28"/>
          <w:szCs w:val="28"/>
          <w:lang w:val="en-US" w:eastAsia="zh-CN"/>
        </w:rPr>
        <w:t>考核领导</w:t>
      </w:r>
      <w:bookmarkStart w:id="1" w:name="_GoBack"/>
      <w:bookmarkEnd w:id="1"/>
      <w:r>
        <w:rPr>
          <w:rFonts w:hint="eastAsia" w:asciiTheme="minorEastAsia" w:hAnsiTheme="minorEastAsia" w:eastAsiaTheme="minorEastAsia"/>
          <w:sz w:val="28"/>
          <w:szCs w:val="28"/>
        </w:rPr>
        <w:t>小组对申报人提供的材料进行评选。</w:t>
      </w:r>
    </w:p>
    <w:p>
      <w:pPr>
        <w:pStyle w:val="9"/>
        <w:widowControl/>
        <w:numPr>
          <w:ilvl w:val="0"/>
          <w:numId w:val="5"/>
        </w:numPr>
        <w:spacing w:line="560" w:lineRule="exact"/>
        <w:ind w:left="0" w:leftChars="0"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2022年</w:t>
      </w:r>
      <w:r>
        <w:rPr>
          <w:rFonts w:hint="eastAsia" w:asciiTheme="minorEastAsia" w:hAnsiTheme="minorEastAsia" w:eastAsiaTheme="minorEastAsia"/>
          <w:sz w:val="28"/>
          <w:szCs w:val="28"/>
        </w:rPr>
        <w:t>11月21日至23日学院公布</w:t>
      </w:r>
      <w:r>
        <w:rPr>
          <w:rFonts w:hint="eastAsia" w:asciiTheme="minorEastAsia" w:hAnsiTheme="minorEastAsia" w:eastAsiaTheme="minorEastAsia"/>
          <w:sz w:val="28"/>
          <w:szCs w:val="28"/>
          <w:lang w:val="en-US" w:eastAsia="zh-CN"/>
        </w:rPr>
        <w:t>评选结果并公示</w:t>
      </w:r>
      <w:r>
        <w:rPr>
          <w:rFonts w:hint="eastAsia" w:asciiTheme="minorEastAsia" w:hAnsiTheme="minorEastAsia" w:eastAsiaTheme="minorEastAsia"/>
          <w:sz w:val="28"/>
          <w:szCs w:val="28"/>
        </w:rPr>
        <w:t>。</w:t>
      </w:r>
    </w:p>
    <w:p>
      <w:pPr>
        <w:spacing w:line="56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 xml:space="preserve">第五条 </w:t>
      </w:r>
      <w:r>
        <w:rPr>
          <w:rFonts w:hint="eastAsia" w:asciiTheme="minorEastAsia" w:hAnsiTheme="minorEastAsia" w:eastAsiaTheme="minorEastAsia"/>
          <w:sz w:val="28"/>
          <w:szCs w:val="28"/>
        </w:rPr>
        <w:t>本办法由学院党政联席会负责解释。</w:t>
      </w:r>
    </w:p>
    <w:p>
      <w:pPr>
        <w:spacing w:line="560" w:lineRule="exact"/>
        <w:ind w:firstLine="560" w:firstLineChars="200"/>
        <w:rPr>
          <w:rFonts w:asciiTheme="minorEastAsia" w:hAnsiTheme="minorEastAsia" w:eastAsiaTheme="minorEastAsia"/>
          <w:sz w:val="28"/>
          <w:szCs w:val="28"/>
        </w:rPr>
      </w:pPr>
    </w:p>
    <w:p>
      <w:pPr>
        <w:spacing w:line="560" w:lineRule="exact"/>
        <w:ind w:firstLine="560" w:firstLineChars="200"/>
        <w:rPr>
          <w:rFonts w:asciiTheme="minorEastAsia" w:hAnsiTheme="minorEastAsia" w:eastAsiaTheme="minorEastAsia"/>
          <w:sz w:val="28"/>
          <w:szCs w:val="28"/>
        </w:rPr>
      </w:pPr>
    </w:p>
    <w:p>
      <w:pPr>
        <w:spacing w:line="560" w:lineRule="exact"/>
        <w:ind w:firstLine="5600" w:firstLineChars="2000"/>
        <w:rPr>
          <w:rFonts w:asciiTheme="minorEastAsia" w:hAnsiTheme="minorEastAsia" w:eastAsiaTheme="minorEastAsia"/>
          <w:sz w:val="28"/>
          <w:szCs w:val="28"/>
        </w:rPr>
      </w:pPr>
      <w:r>
        <w:rPr>
          <w:rFonts w:asciiTheme="minorEastAsia" w:hAnsiTheme="minorEastAsia" w:eastAsiaTheme="minorEastAsia"/>
          <w:sz w:val="28"/>
          <w:szCs w:val="28"/>
        </w:rPr>
        <w:t>沪江学院</w:t>
      </w:r>
    </w:p>
    <w:p>
      <w:pPr>
        <w:spacing w:line="560" w:lineRule="exact"/>
        <w:ind w:firstLine="5040" w:firstLineChars="1800"/>
        <w:rPr>
          <w:rFonts w:asciiTheme="minorEastAsia" w:hAnsiTheme="minorEastAsia" w:eastAsiaTheme="minorEastAsia"/>
          <w:sz w:val="28"/>
          <w:szCs w:val="28"/>
        </w:rPr>
      </w:pPr>
      <w:r>
        <w:rPr>
          <w:rFonts w:hint="eastAsia"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年1</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15</w:t>
      </w:r>
      <w:r>
        <w:rPr>
          <w:rFonts w:hint="eastAsia" w:asciiTheme="minorEastAsia" w:hAnsiTheme="minorEastAsia" w:eastAsiaTheme="minorEastAsia"/>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F0D30"/>
    <w:multiLevelType w:val="singleLevel"/>
    <w:tmpl w:val="C10F0D30"/>
    <w:lvl w:ilvl="0" w:tentative="0">
      <w:start w:val="1"/>
      <w:numFmt w:val="decimal"/>
      <w:lvlText w:val="(%1)"/>
      <w:lvlJc w:val="left"/>
      <w:pPr>
        <w:ind w:left="425" w:hanging="425"/>
      </w:pPr>
      <w:rPr>
        <w:rFonts w:hint="default"/>
        <w:b w:val="0"/>
        <w:bCs w:val="0"/>
      </w:rPr>
    </w:lvl>
  </w:abstractNum>
  <w:abstractNum w:abstractNumId="1">
    <w:nsid w:val="D197E403"/>
    <w:multiLevelType w:val="singleLevel"/>
    <w:tmpl w:val="D197E403"/>
    <w:lvl w:ilvl="0" w:tentative="0">
      <w:start w:val="1"/>
      <w:numFmt w:val="decimal"/>
      <w:lvlText w:val="(%1)"/>
      <w:lvlJc w:val="left"/>
      <w:pPr>
        <w:ind w:left="425" w:hanging="425"/>
      </w:pPr>
      <w:rPr>
        <w:rFonts w:hint="default"/>
        <w:b w:val="0"/>
        <w:bCs w:val="0"/>
      </w:rPr>
    </w:lvl>
  </w:abstractNum>
  <w:abstractNum w:abstractNumId="2">
    <w:nsid w:val="DC751BB1"/>
    <w:multiLevelType w:val="multilevel"/>
    <w:tmpl w:val="DC751BB1"/>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3ADA9A5D"/>
    <w:multiLevelType w:val="singleLevel"/>
    <w:tmpl w:val="3ADA9A5D"/>
    <w:lvl w:ilvl="0" w:tentative="0">
      <w:start w:val="1"/>
      <w:numFmt w:val="decimal"/>
      <w:lvlText w:val="%1."/>
      <w:lvlJc w:val="left"/>
      <w:pPr>
        <w:ind w:left="665" w:hanging="425"/>
      </w:pPr>
      <w:rPr>
        <w:rFonts w:hint="default"/>
        <w:b w:val="0"/>
        <w:bCs w:val="0"/>
      </w:rPr>
    </w:lvl>
  </w:abstractNum>
  <w:abstractNum w:abstractNumId="4">
    <w:nsid w:val="7B72599B"/>
    <w:multiLevelType w:val="singleLevel"/>
    <w:tmpl w:val="7B72599B"/>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jZTMxOWIyODFjOWQ1YjQ3N2RkYTlkM2JlNDQxODEifQ=="/>
  </w:docVars>
  <w:rsids>
    <w:rsidRoot w:val="00DA6C4D"/>
    <w:rsid w:val="000D3A4F"/>
    <w:rsid w:val="001B7DBA"/>
    <w:rsid w:val="001F0E01"/>
    <w:rsid w:val="002D0908"/>
    <w:rsid w:val="00322BF1"/>
    <w:rsid w:val="00323334"/>
    <w:rsid w:val="00412149"/>
    <w:rsid w:val="0043018B"/>
    <w:rsid w:val="006B3F70"/>
    <w:rsid w:val="008901EF"/>
    <w:rsid w:val="00954E2C"/>
    <w:rsid w:val="00A07FB2"/>
    <w:rsid w:val="00AF7AE6"/>
    <w:rsid w:val="00BA2A1F"/>
    <w:rsid w:val="00C57594"/>
    <w:rsid w:val="00DA6C4D"/>
    <w:rsid w:val="00FA108F"/>
    <w:rsid w:val="0ADB03DE"/>
    <w:rsid w:val="188E5849"/>
    <w:rsid w:val="21BE2CFB"/>
    <w:rsid w:val="28863020"/>
    <w:rsid w:val="33E660E2"/>
    <w:rsid w:val="3A5C0EAC"/>
    <w:rsid w:val="3BEA37ED"/>
    <w:rsid w:val="4DC62FA8"/>
    <w:rsid w:val="5C6B34A4"/>
    <w:rsid w:val="636C5F1B"/>
    <w:rsid w:val="6A0F7912"/>
    <w:rsid w:val="72AD6407"/>
    <w:rsid w:val="742F58CF"/>
    <w:rsid w:val="7D2D59FF"/>
    <w:rsid w:val="7DB87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批注框文本 字符"/>
    <w:basedOn w:val="7"/>
    <w:link w:val="2"/>
    <w:semiHidden/>
    <w:qFormat/>
    <w:uiPriority w:val="99"/>
    <w:rPr>
      <w:rFonts w:ascii="Calibri" w:hAnsi="Calibri" w:eastAsia="宋体" w:cs="Times New Roman"/>
      <w:sz w:val="18"/>
      <w:szCs w:val="18"/>
    </w:rPr>
  </w:style>
  <w:style w:type="character" w:customStyle="1" w:styleId="11">
    <w:name w:val="页眉 字符"/>
    <w:basedOn w:val="7"/>
    <w:link w:val="4"/>
    <w:qFormat/>
    <w:uiPriority w:val="99"/>
    <w:rPr>
      <w:rFonts w:ascii="Calibri" w:hAnsi="Calibri" w:eastAsia="宋体" w:cs="Times New Roman"/>
      <w:sz w:val="18"/>
      <w:szCs w:val="18"/>
    </w:rPr>
  </w:style>
  <w:style w:type="character" w:customStyle="1" w:styleId="12">
    <w:name w:val="页脚 字符"/>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911</Words>
  <Characters>972</Characters>
  <Lines>7</Lines>
  <Paragraphs>2</Paragraphs>
  <TotalTime>1</TotalTime>
  <ScaleCrop>false</ScaleCrop>
  <LinksUpToDate>false</LinksUpToDate>
  <CharactersWithSpaces>981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2020-10-30T09:45:00Z</dcterms:created>
  <dc:creator>梁昱</dc:creator>
  <cp:lastModifiedBy>ELLen</cp:lastModifiedBy>
  <cp:lastPrinted>2022-11-15T06:56:00Z</cp:lastPrinted>
  <dcterms:modified xsi:type="dcterms:W3CDTF">2022-11-15T09:09:12Z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463C4FF4353C42969229AAAB81D6E1BC</vt:lpwstr>
  </property>
</Properties>
</file>